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123" w:rsidRDefault="00553DB4">
      <w:r>
        <w:rPr>
          <w:rFonts w:ascii="Segoe UI" w:hAnsi="Segoe UI" w:cs="Segoe UI"/>
          <w:color w:val="212529"/>
          <w:shd w:val="clear" w:color="auto" w:fill="FFFFFF"/>
        </w:rPr>
        <w:t>В состав разных партий аптечек могут входить компоненты от разных  производителей</w:t>
      </w:r>
      <w:proofErr w:type="gramStart"/>
      <w:r>
        <w:rPr>
          <w:rFonts w:ascii="Segoe UI" w:hAnsi="Segoe UI" w:cs="Segoe UI"/>
          <w:color w:val="212529"/>
          <w:shd w:val="clear" w:color="auto" w:fill="FFFFFF"/>
        </w:rPr>
        <w:t xml:space="preserve"> ,</w:t>
      </w:r>
      <w:proofErr w:type="gramEnd"/>
      <w:r>
        <w:rPr>
          <w:rFonts w:ascii="Segoe UI" w:hAnsi="Segoe UI" w:cs="Segoe UI"/>
          <w:color w:val="212529"/>
          <w:shd w:val="clear" w:color="auto" w:fill="FFFFFF"/>
        </w:rPr>
        <w:t xml:space="preserve"> поэтому не является возможным загрузить  РУ на все аптечки с одним артикулом . Идентифицировать наполнение аптечки возможно только по номеру партии аптечки , в связи с чем список регистрационных удостоверений поставщик предоставляет по запросу- на каждую партию аптечек .</w:t>
      </w:r>
      <w:bookmarkStart w:id="0" w:name="_GoBack"/>
      <w:bookmarkEnd w:id="0"/>
    </w:p>
    <w:sectPr w:rsidR="00026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39"/>
    <w:rsid w:val="00026123"/>
    <w:rsid w:val="00437539"/>
    <w:rsid w:val="0055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2026-04-09T10:16:00Z</dcterms:created>
  <dcterms:modified xsi:type="dcterms:W3CDTF">2026-04-09T10:16:00Z</dcterms:modified>
</cp:coreProperties>
</file>